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bookmarkStart w:id="0" w:name="_GoBack"/>
      <w:r>
        <w:rPr>
          <w:rFonts w:hint="eastAsia" w:ascii="宋体" w:hAnsi="宋体" w:cs="方正小标宋简体"/>
          <w:sz w:val="28"/>
          <w:szCs w:val="28"/>
        </w:rPr>
        <w:t>询价报价函</w:t>
      </w:r>
    </w:p>
    <w:bookmarkEnd w:id="0"/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ind w:firstLine="544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pacing w:val="-4"/>
          <w:sz w:val="28"/>
          <w:szCs w:val="28"/>
          <w:lang w:eastAsia="zh-CN"/>
        </w:rPr>
        <w:t>达州市第三污水处理厂及配套管网一期工程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基坑、边坡、隧道及主体沉降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监测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基坑、边坡、隧道及主体沉降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监测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采购供应商名称：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pPr>
        <w:pStyle w:val="3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012F6B95"/>
    <w:rsid w:val="012F6B95"/>
    <w:rsid w:val="08C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2023-04-27T01:38:00Z</dcterms:created>
  <dc:creator>LuLu</dc:creator>
  <cp:lastModifiedBy>LuLu</cp:lastModifiedBy>
  <dcterms:modified xsi:type="dcterms:W3CDTF">2023-04-27T01:38:52Z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13C51620836F40129D109491781FDCA5_11</vt:lpwstr>
  </property>
</Properties>
</file>